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B6FA7" w14:textId="613CB432" w:rsidR="003524E5" w:rsidRPr="0076660D" w:rsidRDefault="003524E5" w:rsidP="003524E5">
      <w:pPr>
        <w:pStyle w:val="Header"/>
        <w:tabs>
          <w:tab w:val="clear" w:pos="4153"/>
          <w:tab w:val="clear" w:pos="8306"/>
          <w:tab w:val="right" w:pos="9026"/>
        </w:tabs>
        <w:rPr>
          <w:b/>
          <w:color w:val="FF0000"/>
          <w:sz w:val="24"/>
        </w:rPr>
      </w:pPr>
      <w:bookmarkStart w:id="0" w:name="_Hlk512609091"/>
      <w:r>
        <w:rPr>
          <w:b/>
          <w:sz w:val="24"/>
        </w:rPr>
        <w:t>3GPP TSG-RAN WG1 Meeting #101-e</w:t>
      </w:r>
      <w:r>
        <w:rPr>
          <w:b/>
          <w:sz w:val="24"/>
        </w:rPr>
        <w:tab/>
      </w:r>
      <w:r w:rsidRPr="00101E9D">
        <w:rPr>
          <w:b/>
          <w:sz w:val="24"/>
        </w:rPr>
        <w:t>R1-</w:t>
      </w:r>
      <w:r>
        <w:rPr>
          <w:b/>
          <w:sz w:val="24"/>
        </w:rPr>
        <w:t>200</w:t>
      </w:r>
      <w:r w:rsidR="007A5B22" w:rsidRPr="007A5B22">
        <w:rPr>
          <w:b/>
          <w:color w:val="000000" w:themeColor="text1"/>
          <w:sz w:val="24"/>
        </w:rPr>
        <w:t>4069</w:t>
      </w:r>
    </w:p>
    <w:p w14:paraId="102722CD" w14:textId="55F5E534" w:rsidR="003524E5" w:rsidRPr="00BC0557" w:rsidRDefault="003524E5" w:rsidP="003524E5">
      <w:pPr>
        <w:pStyle w:val="Header"/>
        <w:rPr>
          <w:b/>
          <w:sz w:val="24"/>
        </w:rPr>
      </w:pPr>
      <w:r>
        <w:rPr>
          <w:b/>
          <w:sz w:val="24"/>
        </w:rPr>
        <w:t>e-Meeting, May 25 – June 0</w:t>
      </w:r>
      <w:r w:rsidR="009658CF">
        <w:rPr>
          <w:b/>
          <w:sz w:val="24"/>
        </w:rPr>
        <w:t>5</w:t>
      </w:r>
      <w:r>
        <w:rPr>
          <w:b/>
          <w:sz w:val="24"/>
        </w:rPr>
        <w:t>, 2020</w:t>
      </w:r>
    </w:p>
    <w:bookmarkEnd w:id="0"/>
    <w:p w14:paraId="776F4C14" w14:textId="77777777" w:rsidR="00443FFF" w:rsidRDefault="00443FFF" w:rsidP="00443FFF"/>
    <w:p w14:paraId="03C6A536" w14:textId="09163D3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00F54C83">
        <w:t>5</w:t>
      </w:r>
    </w:p>
    <w:p w14:paraId="06A83340" w14:textId="39810A2B"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191876" w:rsidRPr="00191876">
        <w:rPr>
          <w:color w:val="000000" w:themeColor="text1"/>
        </w:rPr>
        <w:t>Dis</w:t>
      </w:r>
      <w:r w:rsidR="00191876">
        <w:rPr>
          <w:color w:val="000000" w:themeColor="text1"/>
        </w:rPr>
        <w:t>c</w:t>
      </w:r>
      <w:r w:rsidR="00191876" w:rsidRPr="00191876">
        <w:rPr>
          <w:color w:val="000000" w:themeColor="text1"/>
        </w:rPr>
        <w:t>ussion on maximum data rate of NR sidelink</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592E2DEA" w:rsidR="00D562C7" w:rsidRPr="0040430F" w:rsidRDefault="0040430F" w:rsidP="00740B19">
      <w:pPr>
        <w:pStyle w:val="BodyText"/>
        <w:spacing w:after="120"/>
        <w:rPr>
          <w:color w:val="000000" w:themeColor="text1"/>
          <w:sz w:val="20"/>
          <w:szCs w:val="20"/>
        </w:rPr>
      </w:pPr>
      <w:r w:rsidRPr="0040430F">
        <w:rPr>
          <w:color w:val="000000" w:themeColor="text1"/>
          <w:sz w:val="20"/>
          <w:szCs w:val="20"/>
        </w:rPr>
        <w:t xml:space="preserve">Towards the RAN1#101-e meeting, RAN1 received a LS from RAN2 </w:t>
      </w:r>
      <w:r>
        <w:rPr>
          <w:color w:val="000000" w:themeColor="text1"/>
          <w:sz w:val="20"/>
          <w:szCs w:val="20"/>
        </w:rPr>
        <w:t>in [1]</w:t>
      </w:r>
      <w:r w:rsidRPr="0040430F">
        <w:rPr>
          <w:color w:val="000000" w:themeColor="text1"/>
          <w:sz w:val="20"/>
          <w:szCs w:val="20"/>
        </w:rPr>
        <w:t xml:space="preserve"> requesting RAN1 to define the maximum data rate for NR sidelink. In this contribution, we provide discussion and calculation to define this max data rate for sidelink in Rel-16.</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4736343B" w14:textId="447C51AA" w:rsidR="0040430F" w:rsidRPr="003F6F6B" w:rsidRDefault="0040430F" w:rsidP="00582FFA">
      <w:pPr>
        <w:pStyle w:val="BodyText"/>
        <w:spacing w:after="240"/>
        <w:rPr>
          <w:rFonts w:eastAsiaTheme="minorEastAsia"/>
          <w:color w:val="000000" w:themeColor="text1"/>
          <w:sz w:val="20"/>
        </w:rPr>
      </w:pPr>
      <w:r w:rsidRPr="003F6F6B">
        <w:rPr>
          <w:rFonts w:eastAsiaTheme="minorEastAsia"/>
          <w:color w:val="000000" w:themeColor="text1"/>
          <w:sz w:val="20"/>
        </w:rPr>
        <w:t xml:space="preserve">In order for RAN2 to derive </w:t>
      </w:r>
      <w:r w:rsidR="003F6F6B">
        <w:rPr>
          <w:rFonts w:eastAsiaTheme="minorEastAsia"/>
          <w:color w:val="000000" w:themeColor="text1"/>
          <w:sz w:val="20"/>
        </w:rPr>
        <w:t xml:space="preserve">the total layer-2 </w:t>
      </w:r>
      <w:r w:rsidRPr="003F6F6B">
        <w:rPr>
          <w:rFonts w:eastAsiaTheme="minorEastAsia"/>
          <w:color w:val="000000" w:themeColor="text1"/>
          <w:sz w:val="20"/>
        </w:rPr>
        <w:t xml:space="preserve">buffer size for </w:t>
      </w:r>
      <w:r w:rsidR="003F6F6B">
        <w:rPr>
          <w:rFonts w:eastAsiaTheme="minorEastAsia"/>
          <w:color w:val="000000" w:themeColor="text1"/>
          <w:sz w:val="20"/>
        </w:rPr>
        <w:t>sidelink in Rel-16</w:t>
      </w:r>
      <w:r w:rsidRPr="003F6F6B">
        <w:rPr>
          <w:rFonts w:eastAsiaTheme="minorEastAsia"/>
          <w:color w:val="000000" w:themeColor="text1"/>
          <w:sz w:val="20"/>
        </w:rPr>
        <w:t xml:space="preserve">, according to its </w:t>
      </w:r>
      <w:r w:rsidR="003F6F6B">
        <w:rPr>
          <w:rFonts w:eastAsiaTheme="minorEastAsia"/>
          <w:color w:val="000000" w:themeColor="text1"/>
          <w:sz w:val="20"/>
        </w:rPr>
        <w:t xml:space="preserve">current </w:t>
      </w:r>
      <w:r w:rsidRPr="003F6F6B">
        <w:rPr>
          <w:rFonts w:eastAsiaTheme="minorEastAsia"/>
          <w:color w:val="000000" w:themeColor="text1"/>
          <w:sz w:val="20"/>
        </w:rPr>
        <w:t xml:space="preserve">definition in </w:t>
      </w:r>
      <w:r w:rsidR="003F6F6B">
        <w:rPr>
          <w:rFonts w:eastAsiaTheme="minorEastAsia"/>
          <w:color w:val="000000" w:themeColor="text1"/>
          <w:sz w:val="20"/>
        </w:rPr>
        <w:t xml:space="preserve">Section 4.1.4 of </w:t>
      </w:r>
      <w:r w:rsidRPr="003F6F6B">
        <w:rPr>
          <w:rFonts w:eastAsiaTheme="minorEastAsia"/>
          <w:color w:val="000000" w:themeColor="text1"/>
          <w:sz w:val="20"/>
        </w:rPr>
        <w:t xml:space="preserve">TS38.306 [2], it is necessary to first calculate a maximum data rate from the physical layer. </w:t>
      </w:r>
      <w:r w:rsidR="003F6F6B" w:rsidRPr="003F6F6B">
        <w:rPr>
          <w:rFonts w:eastAsiaTheme="minorEastAsia"/>
          <w:color w:val="000000" w:themeColor="text1"/>
          <w:sz w:val="20"/>
        </w:rPr>
        <w:t>So far,</w:t>
      </w:r>
      <w:r w:rsidR="003F6F6B">
        <w:rPr>
          <w:rFonts w:eastAsiaTheme="minorEastAsia"/>
          <w:color w:val="000000" w:themeColor="text1"/>
          <w:sz w:val="20"/>
        </w:rPr>
        <w:t xml:space="preserve"> </w:t>
      </w:r>
      <w:r w:rsidR="003F6F6B" w:rsidRPr="003F6F6B">
        <w:rPr>
          <w:rFonts w:eastAsiaTheme="minorEastAsia"/>
          <w:color w:val="000000" w:themeColor="text1"/>
          <w:sz w:val="20"/>
        </w:rPr>
        <w:t xml:space="preserve">a formula </w:t>
      </w:r>
      <w:r w:rsidR="00DF134B">
        <w:rPr>
          <w:rFonts w:eastAsiaTheme="minorEastAsia"/>
          <w:color w:val="000000" w:themeColor="text1"/>
          <w:sz w:val="20"/>
        </w:rPr>
        <w:t xml:space="preserve">is defined in [2] </w:t>
      </w:r>
      <w:r w:rsidR="003F6F6B" w:rsidRPr="003F6F6B">
        <w:rPr>
          <w:rFonts w:eastAsiaTheme="minorEastAsia"/>
          <w:color w:val="000000" w:themeColor="text1"/>
          <w:sz w:val="20"/>
        </w:rPr>
        <w:t xml:space="preserve">for </w:t>
      </w:r>
      <w:r w:rsidR="00DF134B">
        <w:rPr>
          <w:rFonts w:eastAsiaTheme="minorEastAsia"/>
          <w:color w:val="000000" w:themeColor="text1"/>
          <w:sz w:val="20"/>
        </w:rPr>
        <w:t>computing</w:t>
      </w:r>
      <w:r w:rsidR="003F6F6B" w:rsidRPr="003F6F6B">
        <w:rPr>
          <w:rFonts w:eastAsiaTheme="minorEastAsia"/>
          <w:color w:val="000000" w:themeColor="text1"/>
          <w:sz w:val="20"/>
        </w:rPr>
        <w:t xml:space="preserve"> the </w:t>
      </w:r>
      <w:r w:rsidR="003F6F6B">
        <w:rPr>
          <w:rFonts w:eastAsiaTheme="minorEastAsia"/>
          <w:color w:val="000000" w:themeColor="text1"/>
          <w:sz w:val="20"/>
        </w:rPr>
        <w:t xml:space="preserve">supported </w:t>
      </w:r>
      <w:r w:rsidR="003F6F6B" w:rsidRPr="003F6F6B">
        <w:rPr>
          <w:rFonts w:eastAsiaTheme="minorEastAsia"/>
          <w:color w:val="000000" w:themeColor="text1"/>
          <w:sz w:val="20"/>
        </w:rPr>
        <w:t xml:space="preserve">max data rate for </w:t>
      </w:r>
      <w:r w:rsidR="00DF134B">
        <w:rPr>
          <w:rFonts w:eastAsiaTheme="minorEastAsia"/>
          <w:color w:val="000000" w:themeColor="text1"/>
          <w:sz w:val="20"/>
        </w:rPr>
        <w:t>NR</w:t>
      </w:r>
      <w:r w:rsidR="003F6F6B" w:rsidRPr="003F6F6B">
        <w:rPr>
          <w:rFonts w:eastAsiaTheme="minorEastAsia"/>
          <w:color w:val="000000" w:themeColor="text1"/>
          <w:sz w:val="20"/>
        </w:rPr>
        <w:t xml:space="preserve"> </w:t>
      </w:r>
      <w:r w:rsidR="00DF134B">
        <w:rPr>
          <w:rFonts w:eastAsiaTheme="minorEastAsia"/>
          <w:color w:val="000000" w:themeColor="text1"/>
          <w:sz w:val="20"/>
        </w:rPr>
        <w:t>DL and UL</w:t>
      </w:r>
      <w:r w:rsidR="003F6F6B" w:rsidRPr="003F6F6B">
        <w:rPr>
          <w:rFonts w:eastAsiaTheme="minorEastAsia"/>
          <w:color w:val="000000" w:themeColor="text1"/>
          <w:sz w:val="20"/>
        </w:rPr>
        <w:t xml:space="preserve"> as:</w:t>
      </w:r>
    </w:p>
    <w:p w14:paraId="79F83C19" w14:textId="40EC207C" w:rsidR="006F2EC4" w:rsidRPr="00F725D9" w:rsidRDefault="006F2EC4" w:rsidP="00E64A8F">
      <w:pPr>
        <w:pStyle w:val="EQ"/>
        <w:ind w:left="1276"/>
        <w:jc w:val="center"/>
        <w:rPr>
          <w:rFonts w:eastAsia="Times New Roman"/>
        </w:rPr>
      </w:pPr>
      <w:r w:rsidRPr="00F725D9">
        <w:object w:dxaOrig="6619" w:dyaOrig="700" w14:anchorId="060B4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3pt;height:34.35pt" o:ole="">
            <v:imagedata r:id="rId8" o:title=""/>
          </v:shape>
          <o:OLEObject Type="Embed" ProgID="Equation.3" ShapeID="_x0000_i1025" DrawAspect="Content" ObjectID="_1651058341" r:id="rId9"/>
        </w:object>
      </w:r>
      <w:r w:rsidR="00E64A8F">
        <w:t xml:space="preserve"> </w:t>
      </w:r>
      <w:r w:rsidR="00E64A8F">
        <w:tab/>
        <w:t>(1)</w:t>
      </w:r>
    </w:p>
    <w:p w14:paraId="4C41797E" w14:textId="5A56EC8E" w:rsidR="003F6F6B" w:rsidRDefault="00DF134B" w:rsidP="00582FFA">
      <w:pPr>
        <w:pStyle w:val="BodyText"/>
        <w:spacing w:after="240"/>
        <w:rPr>
          <w:rFonts w:eastAsiaTheme="minorEastAsia"/>
          <w:color w:val="000000" w:themeColor="text1"/>
          <w:sz w:val="20"/>
        </w:rPr>
      </w:pPr>
      <w:r>
        <w:rPr>
          <w:rFonts w:eastAsiaTheme="minorEastAsia"/>
          <w:color w:val="000000" w:themeColor="text1"/>
          <w:sz w:val="20"/>
        </w:rPr>
        <w:t xml:space="preserve">Description for each of the component in this formula can be found in Section 4.1.2 of [2]. Since the scope / supported number of </w:t>
      </w:r>
      <w:r w:rsidR="006F2EC4">
        <w:rPr>
          <w:rFonts w:eastAsiaTheme="minorEastAsia"/>
          <w:color w:val="000000" w:themeColor="text1"/>
          <w:sz w:val="20"/>
        </w:rPr>
        <w:t xml:space="preserve">SL </w:t>
      </w:r>
      <w:r>
        <w:rPr>
          <w:rFonts w:eastAsiaTheme="minorEastAsia"/>
          <w:color w:val="000000" w:themeColor="text1"/>
          <w:sz w:val="20"/>
        </w:rPr>
        <w:t>carriers is 1, the above formula for NR Uu can be modified for NR sidelink in Rel-16 as:</w:t>
      </w:r>
    </w:p>
    <w:p w14:paraId="65165344" w14:textId="442F2A2D" w:rsidR="006F2EC4" w:rsidRPr="00F725D9" w:rsidRDefault="006F2EC4" w:rsidP="00E64A8F">
      <w:pPr>
        <w:pStyle w:val="EQ"/>
        <w:ind w:left="1418"/>
        <w:rPr>
          <w:rFonts w:eastAsia="Times New Roman"/>
        </w:rPr>
      </w:pPr>
      <m:oMath>
        <m:r>
          <m:rPr>
            <m:nor/>
          </m:rPr>
          <w:rPr>
            <w:rFonts w:ascii="Cambria Math"/>
          </w:rPr>
          <m:t xml:space="preserve">data rate </m:t>
        </m:r>
        <m:r>
          <m:rPr>
            <m:sty m:val="p"/>
          </m:rPr>
          <w:rPr>
            <w:rFonts w:ascii="Cambria Math"/>
          </w:rPr>
          <m:t>(</m:t>
        </m:r>
        <m:r>
          <m:rPr>
            <m:nor/>
          </m:rPr>
          <w:rPr>
            <w:rFonts w:ascii="Cambria Math"/>
          </w:rPr>
          <m:t>in Mbps</m:t>
        </m:r>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sSub>
          <m:sSubPr>
            <m:ctrlPr>
              <w:rPr>
                <w:rFonts w:ascii="Cambria Math" w:hAnsi="Cambria Math"/>
                <w:i/>
                <w:noProof w:val="0"/>
              </w:rPr>
            </m:ctrlPr>
          </m:sSubPr>
          <m:e>
            <m:r>
              <w:rPr>
                <w:rFonts w:ascii="Cambria Math" w:hAnsi="Cambria Math"/>
              </w:rPr>
              <m:t>v</m:t>
            </m:r>
          </m:e>
          <m:sub>
            <m:r>
              <w:rPr>
                <w:rFonts w:ascii="Cambria Math" w:hAnsi="Cambria Math"/>
              </w:rPr>
              <m:t>Layers</m:t>
            </m:r>
          </m:sub>
        </m:sSub>
        <m:r>
          <w:rPr>
            <w:rFonts w:ascii="Cambria Math" w:hAnsi="Cambria Math" w:cs="Cambria Math"/>
          </w:rPr>
          <m:t>⋅</m:t>
        </m:r>
        <m:sSub>
          <m:sSubPr>
            <m:ctrlPr>
              <w:rPr>
                <w:rFonts w:ascii="Cambria Math" w:hAnsi="Cambria Math"/>
                <w:i/>
                <w:noProof w:val="0"/>
              </w:rPr>
            </m:ctrlPr>
          </m:sSubPr>
          <m:e>
            <m:r>
              <w:rPr>
                <w:rFonts w:ascii="Cambria Math" w:hAnsi="Cambria Math"/>
              </w:rPr>
              <m:t>Q</m:t>
            </m:r>
          </m:e>
          <m:sub>
            <m:r>
              <w:rPr>
                <w:rFonts w:ascii="Cambria Math" w:hAns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max</m:t>
            </m:r>
          </m:sub>
        </m:sSub>
        <m:r>
          <w:rPr>
            <w:rFonts w:ascii="Cambria Math" w:hAnsi="Cambria Math" w:cs="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OH</m:t>
            </m:r>
          </m:e>
        </m:d>
      </m:oMath>
      <w:r w:rsidR="00E64A8F">
        <w:rPr>
          <w:rFonts w:eastAsia="Times New Roman"/>
        </w:rPr>
        <w:tab/>
        <w:t>(2)</w:t>
      </w:r>
    </w:p>
    <w:p w14:paraId="279CC9A3" w14:textId="0556DFEC" w:rsidR="00DF134B" w:rsidRPr="00440D4E" w:rsidRDefault="006F2EC4" w:rsidP="00440D4E">
      <w:pPr>
        <w:pStyle w:val="BodyText"/>
        <w:spacing w:after="120"/>
        <w:rPr>
          <w:rFonts w:ascii="Times" w:eastAsiaTheme="minorEastAsia" w:hAnsi="Times" w:cs="Times"/>
          <w:color w:val="000000" w:themeColor="text1"/>
          <w:sz w:val="20"/>
          <w:szCs w:val="20"/>
        </w:rPr>
      </w:pPr>
      <w:r w:rsidRPr="00440D4E">
        <w:rPr>
          <w:rFonts w:ascii="Times" w:eastAsiaTheme="minorEastAsia" w:hAnsi="Times" w:cs="Times"/>
          <w:color w:val="000000" w:themeColor="text1"/>
          <w:sz w:val="20"/>
          <w:szCs w:val="20"/>
        </w:rPr>
        <w:t>wherein</w:t>
      </w:r>
    </w:p>
    <w:p w14:paraId="1DC5053C" w14:textId="678C68B3" w:rsidR="006F2EC4" w:rsidRPr="00646D40" w:rsidRDefault="006F2EC4" w:rsidP="00646D40">
      <w:pPr>
        <w:pStyle w:val="B2"/>
        <w:spacing w:after="60"/>
        <w:ind w:hanging="142"/>
        <w:rPr>
          <w:lang w:val="en-GB"/>
        </w:rPr>
      </w:pPr>
      <w:r w:rsidRPr="00DF0B34">
        <w:rPr>
          <w:lang w:val="en-GB"/>
        </w:rPr>
        <w:t>Rmax = 948/1024</w:t>
      </w:r>
    </w:p>
    <w:p w14:paraId="3E29D4DB" w14:textId="1C1AB677" w:rsidR="006F2EC4" w:rsidRPr="00646D40" w:rsidRDefault="007A7DD8" w:rsidP="00646D40">
      <w:pPr>
        <w:pStyle w:val="B2"/>
        <w:spacing w:after="60"/>
        <w:ind w:hanging="142"/>
        <w:rPr>
          <w:lang w:val="en-GB"/>
        </w:rPr>
      </w:pP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Layers</m:t>
            </m:r>
          </m:sub>
        </m:sSub>
      </m:oMath>
      <w:r w:rsidR="006F2EC4" w:rsidRPr="00646D40">
        <w:rPr>
          <w:lang w:val="en-GB"/>
        </w:rPr>
        <w:t xml:space="preserve"> is the maximum number of supported layers, which </w:t>
      </w:r>
      <w:r w:rsidR="00DF0B34">
        <w:rPr>
          <w:lang w:val="en-GB"/>
        </w:rPr>
        <w:t>is</w:t>
      </w:r>
      <w:r w:rsidR="006F2EC4" w:rsidRPr="00646D40">
        <w:rPr>
          <w:lang w:val="en-GB"/>
        </w:rPr>
        <w:t xml:space="preserve"> 2</w:t>
      </w:r>
    </w:p>
    <w:p w14:paraId="5A4CCA45" w14:textId="147A16EA" w:rsidR="00440D4E" w:rsidRPr="00646D40" w:rsidRDefault="007A7DD8" w:rsidP="00646D40">
      <w:pPr>
        <w:pStyle w:val="B2"/>
        <w:spacing w:after="60"/>
        <w:ind w:hanging="142"/>
        <w:rPr>
          <w:lang w:val="en-GB"/>
        </w:rPr>
      </w:pPr>
      <m:oMath>
        <m:sSub>
          <m:sSubPr>
            <m:ctrlPr>
              <w:rPr>
                <w:rFonts w:ascii="Cambria Math" w:hAnsi="Cambria Math"/>
                <w:i/>
                <w:lang w:val="en-GB"/>
              </w:rPr>
            </m:ctrlPr>
          </m:sSubPr>
          <m:e>
            <m:r>
              <w:rPr>
                <w:rFonts w:ascii="Cambria Math" w:hAnsi="Cambria Math"/>
              </w:rPr>
              <m:t>Q</m:t>
            </m:r>
          </m:e>
          <m:sub>
            <m:r>
              <w:rPr>
                <w:rFonts w:ascii="Cambria Math" w:hAnsi="Cambria Math"/>
              </w:rPr>
              <m:t>m</m:t>
            </m:r>
          </m:sub>
        </m:sSub>
      </m:oMath>
      <w:r w:rsidR="006F2EC4" w:rsidRPr="00646D40">
        <w:rPr>
          <w:lang w:val="en-GB"/>
        </w:rPr>
        <w:t xml:space="preserve"> is the maximum supported modulation order given by higher layer parameter</w:t>
      </w:r>
      <w:r w:rsidR="00646D40">
        <w:rPr>
          <w:lang w:val="en-GB"/>
        </w:rPr>
        <w:t>.</w:t>
      </w:r>
    </w:p>
    <w:p w14:paraId="6E02B4EB" w14:textId="2EE937E6" w:rsidR="006F2EC4" w:rsidRPr="00646D40" w:rsidRDefault="00646D40" w:rsidP="00646D40">
      <w:pPr>
        <w:pStyle w:val="B2"/>
        <w:spacing w:after="60"/>
        <w:ind w:hanging="142"/>
        <w:rPr>
          <w:lang w:val="en-GB"/>
        </w:rPr>
      </w:pPr>
      <m:oMath>
        <m:r>
          <w:rPr>
            <w:rFonts w:ascii="Cambria Math"/>
            <w:lang w:val="en-GB"/>
          </w:rPr>
          <m:t>μ</m:t>
        </m:r>
      </m:oMath>
      <w:r w:rsidR="006F2EC4" w:rsidRPr="00646D40">
        <w:rPr>
          <w:lang w:val="en-GB"/>
        </w:rPr>
        <w:t xml:space="preserve"> is the numerology (as defined in TS 38.211)</w:t>
      </w:r>
      <w:r>
        <w:rPr>
          <w:lang w:val="en-GB"/>
        </w:rPr>
        <w:t>.</w:t>
      </w:r>
    </w:p>
    <w:p w14:paraId="498BD61E" w14:textId="1D709187" w:rsidR="00646D40" w:rsidRDefault="007A7DD8" w:rsidP="00646D40">
      <w:pPr>
        <w:pStyle w:val="B2"/>
        <w:spacing w:after="0"/>
        <w:ind w:left="1134" w:hanging="425"/>
        <w:rPr>
          <w:lang w:val="en-GB"/>
        </w:rPr>
      </w:pPr>
      <m:oMath>
        <m:sSubSup>
          <m:sSubSupPr>
            <m:ctrlPr>
              <w:rPr>
                <w:rFonts w:ascii="Cambria Math" w:hAnsi="Cambria Math"/>
                <w:i/>
                <w:lang w:val="en-GB"/>
              </w:rPr>
            </m:ctrlPr>
          </m:sSubSupPr>
          <m:e>
            <m:r>
              <w:rPr>
                <w:rFonts w:ascii="Cambria Math"/>
                <w:lang w:val="en-GB"/>
              </w:rPr>
              <m:t>T</m:t>
            </m:r>
          </m:e>
          <m:sub>
            <m:r>
              <w:rPr>
                <w:rFonts w:ascii="Cambria Math"/>
                <w:lang w:val="en-GB"/>
              </w:rPr>
              <m:t>s</m:t>
            </m:r>
          </m:sub>
          <m:sup>
            <m:r>
              <w:rPr>
                <w:rFonts w:ascii="Cambria Math"/>
                <w:lang w:val="en-GB"/>
              </w:rPr>
              <m:t>μ</m:t>
            </m:r>
          </m:sup>
        </m:sSubSup>
      </m:oMath>
      <w:r w:rsidR="006F2EC4" w:rsidRPr="00646D40">
        <w:rPr>
          <w:lang w:val="en-GB"/>
        </w:rPr>
        <w:t xml:space="preserve"> is the average OFDM symbol duration in a subframe for numerology </w:t>
      </w:r>
      <m:oMath>
        <m:r>
          <w:rPr>
            <w:rFonts w:ascii="Cambria Math"/>
            <w:lang w:val="en-GB"/>
          </w:rPr>
          <m:t>μ</m:t>
        </m:r>
      </m:oMath>
      <w:r w:rsidR="006F2EC4" w:rsidRPr="00646D40">
        <w:rPr>
          <w:lang w:val="en-GB"/>
        </w:rPr>
        <w:t xml:space="preserve">, i.e. </w:t>
      </w:r>
      <m:oMath>
        <m:sSubSup>
          <m:sSubSupPr>
            <m:ctrlPr>
              <w:rPr>
                <w:rFonts w:ascii="Cambria Math" w:hAnsi="Cambria Math"/>
                <w:i/>
                <w:lang w:val="en-GB"/>
              </w:rPr>
            </m:ctrlPr>
          </m:sSubSupPr>
          <m:e>
            <m:r>
              <w:rPr>
                <w:rFonts w:ascii="Cambria Math"/>
                <w:lang w:val="en-GB"/>
              </w:rPr>
              <m:t>T</m:t>
            </m:r>
          </m:e>
          <m:sub>
            <m:r>
              <w:rPr>
                <w:rFonts w:ascii="Cambria Math"/>
                <w:lang w:val="en-GB"/>
              </w:rPr>
              <m:t>s</m:t>
            </m:r>
          </m:sub>
          <m:sup>
            <m:r>
              <w:rPr>
                <w:rFonts w:ascii="Cambria Math"/>
                <w:lang w:val="en-GB"/>
              </w:rPr>
              <m:t>μ</m:t>
            </m:r>
          </m:sup>
        </m:sSubSup>
        <m:r>
          <w:rPr>
            <w:rFonts w:ascii="Cambria Math"/>
            <w:lang w:val="en-GB"/>
          </w:rPr>
          <m:t>=</m:t>
        </m:r>
        <m:f>
          <m:fPr>
            <m:ctrlPr>
              <w:rPr>
                <w:rFonts w:ascii="Cambria Math" w:hAnsi="Cambria Math"/>
                <w:i/>
                <w:lang w:val="en-GB"/>
              </w:rPr>
            </m:ctrlPr>
          </m:fPr>
          <m:num>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3</m:t>
                </m:r>
              </m:sup>
            </m:sSup>
          </m:num>
          <m:den>
            <m:r>
              <w:rPr>
                <w:rFonts w:ascii="Cambria Math"/>
                <w:lang w:val="en-GB"/>
              </w:rPr>
              <m:t>14</m:t>
            </m:r>
            <m:r>
              <w:rPr>
                <w:rFonts w:ascii="Cambria Math" w:hAnsi="Cambria Math" w:cs="Cambria Math"/>
                <w:lang w:val="en-GB"/>
              </w:rPr>
              <m:t>⋅</m:t>
            </m:r>
            <m:sSup>
              <m:sSupPr>
                <m:ctrlPr>
                  <w:rPr>
                    <w:rFonts w:ascii="Cambria Math" w:hAnsi="Cambria Math"/>
                    <w:i/>
                    <w:lang w:val="en-GB"/>
                  </w:rPr>
                </m:ctrlPr>
              </m:sSupPr>
              <m:e>
                <m:r>
                  <w:rPr>
                    <w:rFonts w:ascii="Cambria Math"/>
                    <w:lang w:val="en-GB"/>
                  </w:rPr>
                  <m:t>2</m:t>
                </m:r>
              </m:e>
              <m:sup>
                <m:r>
                  <w:rPr>
                    <w:rFonts w:ascii="Cambria Math"/>
                    <w:lang w:val="en-GB"/>
                  </w:rPr>
                  <m:t>μ</m:t>
                </m:r>
              </m:sup>
            </m:sSup>
          </m:den>
        </m:f>
      </m:oMath>
    </w:p>
    <w:p w14:paraId="78E38E02" w14:textId="31718A27" w:rsidR="006F2EC4" w:rsidRPr="00646D40" w:rsidRDefault="006F2EC4" w:rsidP="00646D40">
      <w:pPr>
        <w:pStyle w:val="B2"/>
        <w:spacing w:after="120"/>
        <w:ind w:left="993" w:firstLine="0"/>
        <w:rPr>
          <w:lang w:val="en-GB"/>
        </w:rPr>
      </w:pPr>
      <w:r w:rsidRPr="00646D40">
        <w:rPr>
          <w:lang w:val="en-GB"/>
        </w:rPr>
        <w:t>Note that normal cyclic prefix is assumed</w:t>
      </w:r>
    </w:p>
    <w:p w14:paraId="4CCBDFA2" w14:textId="06787130" w:rsidR="006F2EC4" w:rsidRPr="00646D40" w:rsidRDefault="007A7DD8" w:rsidP="00646D40">
      <w:pPr>
        <w:pStyle w:val="B2"/>
        <w:spacing w:after="60"/>
        <w:ind w:left="709" w:firstLine="0"/>
        <w:rPr>
          <w:lang w:val="en-GB"/>
        </w:rPr>
      </w:pPr>
      <m:oMath>
        <m:sSubSup>
          <m:sSubSupPr>
            <m:ctrlPr>
              <w:rPr>
                <w:rFonts w:ascii="Cambria Math" w:hAnsi="Cambria Math"/>
                <w:i/>
                <w:lang w:val="en-GB"/>
              </w:rPr>
            </m:ctrlPr>
          </m:sSubSupPr>
          <m:e>
            <m:r>
              <w:rPr>
                <w:rFonts w:ascii="Cambria Math"/>
                <w:lang w:val="en-GB"/>
              </w:rPr>
              <m:t>N</m:t>
            </m:r>
          </m:e>
          <m:sub>
            <m:r>
              <w:rPr>
                <w:rFonts w:ascii="Cambria Math"/>
                <w:lang w:val="en-GB"/>
              </w:rPr>
              <m:t>PRB</m:t>
            </m:r>
          </m:sub>
          <m:sup>
            <m:r>
              <w:rPr>
                <w:rFonts w:ascii="Cambria Math"/>
                <w:lang w:val="en-GB"/>
              </w:rPr>
              <m:t>BW,μ</m:t>
            </m:r>
          </m:sup>
        </m:sSubSup>
      </m:oMath>
      <w:r w:rsidR="006F2EC4" w:rsidRPr="00646D40">
        <w:rPr>
          <w:lang w:val="en-GB"/>
        </w:rPr>
        <w:t xml:space="preserve"> is the maximum RB allocation in bandwidth </w:t>
      </w:r>
      <m:oMath>
        <m:r>
          <w:rPr>
            <w:rFonts w:ascii="Cambria Math" w:hAnsi="Cambria Math"/>
            <w:lang w:val="en-GB"/>
          </w:rPr>
          <m:t>BW</m:t>
        </m:r>
      </m:oMath>
      <w:r w:rsidR="006F2EC4" w:rsidRPr="00646D40">
        <w:rPr>
          <w:lang w:val="en-GB"/>
        </w:rPr>
        <w:t xml:space="preserve"> with numerology </w:t>
      </w:r>
      <m:oMath>
        <m:r>
          <w:rPr>
            <w:rFonts w:ascii="Cambria Math"/>
            <w:lang w:val="en-GB"/>
          </w:rPr>
          <m:t>μ</m:t>
        </m:r>
      </m:oMath>
      <w:r w:rsidR="006F2EC4" w:rsidRPr="00646D40">
        <w:rPr>
          <w:lang w:val="en-GB"/>
        </w:rPr>
        <w:t>, as defined in 5.3 TS</w:t>
      </w:r>
      <w:r w:rsidR="00646D40">
        <w:rPr>
          <w:lang w:val="en-GB"/>
        </w:rPr>
        <w:t xml:space="preserve"> </w:t>
      </w:r>
      <w:r w:rsidR="006F2EC4" w:rsidRPr="00646D40">
        <w:rPr>
          <w:lang w:val="en-GB"/>
        </w:rPr>
        <w:t>38.101-1 and 5.3 TS</w:t>
      </w:r>
      <w:r w:rsidR="00646D40">
        <w:rPr>
          <w:lang w:val="en-GB"/>
        </w:rPr>
        <w:t xml:space="preserve"> </w:t>
      </w:r>
      <w:r w:rsidR="006F2EC4" w:rsidRPr="00646D40">
        <w:rPr>
          <w:lang w:val="en-GB"/>
        </w:rPr>
        <w:t xml:space="preserve">38.101-2, where </w:t>
      </w:r>
      <m:oMath>
        <m:r>
          <w:rPr>
            <w:rFonts w:ascii="Cambria Math"/>
            <w:lang w:val="en-GB"/>
          </w:rPr>
          <m:t>BW</m:t>
        </m:r>
      </m:oMath>
      <w:r w:rsidR="006F2EC4" w:rsidRPr="00646D40">
        <w:rPr>
          <w:lang w:val="en-GB"/>
        </w:rPr>
        <w:t xml:space="preserve"> is the UE supported maximum bandwidth in the given band</w:t>
      </w:r>
    </w:p>
    <w:p w14:paraId="444F1BE6" w14:textId="072F9375" w:rsidR="006F2EC4" w:rsidRPr="00646D40" w:rsidRDefault="006F2EC4" w:rsidP="00646D40">
      <w:pPr>
        <w:pStyle w:val="B2"/>
        <w:spacing w:after="60"/>
        <w:ind w:hanging="142"/>
        <w:rPr>
          <w:lang w:val="en-GB"/>
        </w:rPr>
      </w:pPr>
      <m:oMath>
        <m:r>
          <w:rPr>
            <w:rFonts w:ascii="Cambria Math" w:hAnsi="Cambria Math"/>
            <w:lang w:val="en-GB"/>
          </w:rPr>
          <m:t>OH</m:t>
        </m:r>
      </m:oMath>
      <w:r w:rsidR="00440D4E" w:rsidRPr="00646D40">
        <w:rPr>
          <w:lang w:val="en-GB"/>
        </w:rPr>
        <w:t xml:space="preserve"> </w:t>
      </w:r>
      <w:r w:rsidRPr="00646D40">
        <w:rPr>
          <w:lang w:val="en-GB"/>
        </w:rPr>
        <w:t xml:space="preserve">is the overhead and </w:t>
      </w:r>
      <w:r w:rsidR="00440D4E" w:rsidRPr="00646D40">
        <w:rPr>
          <w:lang w:val="en-GB"/>
        </w:rPr>
        <w:t>it has a</w:t>
      </w:r>
      <w:r w:rsidRPr="00646D40">
        <w:rPr>
          <w:lang w:val="en-GB"/>
        </w:rPr>
        <w:t xml:space="preserve"> value</w:t>
      </w:r>
      <w:r w:rsidR="00440D4E" w:rsidRPr="00646D40">
        <w:rPr>
          <w:lang w:val="en-GB"/>
        </w:rPr>
        <w:t xml:space="preserve"> of </w:t>
      </w:r>
      <w:r w:rsidR="00A67FC7">
        <w:rPr>
          <w:lang w:val="en-GB"/>
        </w:rPr>
        <w:t>[0.217]</w:t>
      </w:r>
      <w:r w:rsidR="00440D4E" w:rsidRPr="00646D40">
        <w:rPr>
          <w:lang w:val="en-GB"/>
        </w:rPr>
        <w:t xml:space="preserve"> for SL</w:t>
      </w:r>
    </w:p>
    <w:p w14:paraId="4CCDD57D" w14:textId="77777777" w:rsidR="006F2EC4" w:rsidRDefault="006F2EC4" w:rsidP="00582FFA">
      <w:pPr>
        <w:pStyle w:val="BodyText"/>
        <w:spacing w:after="240"/>
        <w:rPr>
          <w:rFonts w:eastAsiaTheme="minorEastAsia"/>
          <w:color w:val="000000" w:themeColor="text1"/>
          <w:sz w:val="20"/>
        </w:rPr>
      </w:pPr>
    </w:p>
    <w:p w14:paraId="6CE93DF1" w14:textId="77777777" w:rsidR="00E05904" w:rsidRDefault="00E05904" w:rsidP="00E05904">
      <w:pPr>
        <w:pStyle w:val="BodyText"/>
        <w:spacing w:after="120"/>
        <w:rPr>
          <w:rFonts w:eastAsiaTheme="minorEastAsia"/>
          <w:color w:val="000000" w:themeColor="text1"/>
          <w:sz w:val="20"/>
        </w:rPr>
      </w:pPr>
      <w:r>
        <w:rPr>
          <w:rFonts w:eastAsiaTheme="minorEastAsia"/>
          <w:color w:val="000000" w:themeColor="text1"/>
          <w:sz w:val="20"/>
        </w:rPr>
        <w:t>For the SL overhead in computing the max data rate, i.e., PSCCH, PSFCH, DMRS, CSI-RS and PT-RS, we could assume the following:</w:t>
      </w:r>
    </w:p>
    <w:p w14:paraId="149C9860" w14:textId="2C5246F7" w:rsidR="00DF134B" w:rsidRPr="00A67FC7" w:rsidRDefault="00A67FC7" w:rsidP="00E05904">
      <w:pPr>
        <w:pStyle w:val="BodyText"/>
        <w:numPr>
          <w:ilvl w:val="0"/>
          <w:numId w:val="37"/>
        </w:numPr>
        <w:spacing w:after="120"/>
        <w:rPr>
          <w:rFonts w:eastAsiaTheme="minorEastAsia"/>
          <w:color w:val="000000" w:themeColor="text1"/>
          <w:sz w:val="20"/>
        </w:rPr>
      </w:pPr>
      <w:r w:rsidRPr="00A67FC7">
        <w:rPr>
          <w:rFonts w:eastAsiaTheme="minorEastAsia"/>
          <w:color w:val="000000" w:themeColor="text1"/>
          <w:sz w:val="20"/>
        </w:rPr>
        <w:t>M</w:t>
      </w:r>
      <w:r w:rsidR="00E05904" w:rsidRPr="00A67FC7">
        <w:rPr>
          <w:rFonts w:eastAsiaTheme="minorEastAsia"/>
          <w:color w:val="000000" w:themeColor="text1"/>
          <w:sz w:val="20"/>
        </w:rPr>
        <w:t xml:space="preserve">inimum supported number of </w:t>
      </w:r>
      <w:r w:rsidR="00E64A8F" w:rsidRPr="00A67FC7">
        <w:rPr>
          <w:rFonts w:eastAsiaTheme="minorEastAsia"/>
          <w:color w:val="000000" w:themeColor="text1"/>
          <w:sz w:val="20"/>
        </w:rPr>
        <w:t xml:space="preserve">10 </w:t>
      </w:r>
      <w:r w:rsidR="00E05904" w:rsidRPr="00A67FC7">
        <w:rPr>
          <w:rFonts w:eastAsiaTheme="minorEastAsia"/>
          <w:color w:val="000000" w:themeColor="text1"/>
          <w:sz w:val="20"/>
        </w:rPr>
        <w:t>PRBs</w:t>
      </w:r>
      <w:r w:rsidR="00E64A8F" w:rsidRPr="00A67FC7">
        <w:rPr>
          <w:rFonts w:eastAsiaTheme="minorEastAsia"/>
          <w:color w:val="000000" w:themeColor="text1"/>
          <w:sz w:val="20"/>
        </w:rPr>
        <w:t xml:space="preserve"> </w:t>
      </w:r>
      <w:r w:rsidR="00E05904" w:rsidRPr="00A67FC7">
        <w:rPr>
          <w:rFonts w:eastAsiaTheme="minorEastAsia"/>
          <w:color w:val="000000" w:themeColor="text1"/>
          <w:sz w:val="20"/>
        </w:rPr>
        <w:t xml:space="preserve">and </w:t>
      </w:r>
      <w:r w:rsidR="00E64A8F" w:rsidRPr="00A67FC7">
        <w:rPr>
          <w:rFonts w:eastAsiaTheme="minorEastAsia"/>
          <w:color w:val="000000" w:themeColor="text1"/>
          <w:sz w:val="20"/>
        </w:rPr>
        <w:t xml:space="preserve">2 </w:t>
      </w:r>
      <w:r w:rsidR="00E05904" w:rsidRPr="00A67FC7">
        <w:rPr>
          <w:rFonts w:eastAsiaTheme="minorEastAsia"/>
          <w:color w:val="000000" w:themeColor="text1"/>
          <w:sz w:val="20"/>
        </w:rPr>
        <w:t>symbols for PSCCH</w:t>
      </w:r>
    </w:p>
    <w:p w14:paraId="599E6FFB" w14:textId="6E163B63" w:rsidR="00E05904" w:rsidRDefault="00E05904" w:rsidP="00E05904">
      <w:pPr>
        <w:pStyle w:val="BodyText"/>
        <w:numPr>
          <w:ilvl w:val="0"/>
          <w:numId w:val="37"/>
        </w:numPr>
        <w:spacing w:after="120"/>
        <w:rPr>
          <w:rFonts w:eastAsiaTheme="minorEastAsia"/>
          <w:color w:val="000000" w:themeColor="text1"/>
          <w:sz w:val="20"/>
        </w:rPr>
      </w:pPr>
      <w:r>
        <w:rPr>
          <w:rFonts w:eastAsiaTheme="minorEastAsia"/>
          <w:color w:val="000000" w:themeColor="text1"/>
          <w:sz w:val="20"/>
        </w:rPr>
        <w:t>No PSFCH is configured in a resource pool</w:t>
      </w:r>
    </w:p>
    <w:p w14:paraId="65F13DBF" w14:textId="74C1FA1C" w:rsidR="00E05904" w:rsidRPr="009D62C1" w:rsidRDefault="00E05904" w:rsidP="00E05904">
      <w:pPr>
        <w:pStyle w:val="BodyText"/>
        <w:numPr>
          <w:ilvl w:val="0"/>
          <w:numId w:val="37"/>
        </w:numPr>
        <w:spacing w:after="120"/>
        <w:rPr>
          <w:rFonts w:eastAsiaTheme="minorEastAsia"/>
          <w:color w:val="000000" w:themeColor="text1"/>
          <w:sz w:val="20"/>
        </w:rPr>
      </w:pPr>
      <w:r w:rsidRPr="009D62C1">
        <w:rPr>
          <w:rFonts w:eastAsiaTheme="minorEastAsia"/>
          <w:color w:val="000000" w:themeColor="text1"/>
          <w:sz w:val="20"/>
        </w:rPr>
        <w:t>PSSCH-DMRS</w:t>
      </w:r>
      <w:r w:rsidR="009D62C1" w:rsidRPr="009D62C1">
        <w:rPr>
          <w:rFonts w:eastAsiaTheme="minorEastAsia"/>
          <w:color w:val="000000" w:themeColor="text1"/>
          <w:sz w:val="20"/>
        </w:rPr>
        <w:t xml:space="preserve"> occupies only 2 symbols</w:t>
      </w:r>
    </w:p>
    <w:p w14:paraId="6C457134" w14:textId="66EB01CF" w:rsidR="009D62C1" w:rsidRDefault="009D62C1" w:rsidP="005502C4">
      <w:pPr>
        <w:pStyle w:val="BodyText"/>
        <w:numPr>
          <w:ilvl w:val="0"/>
          <w:numId w:val="37"/>
        </w:numPr>
        <w:spacing w:after="120"/>
        <w:rPr>
          <w:rFonts w:eastAsiaTheme="minorEastAsia"/>
          <w:color w:val="000000" w:themeColor="text1"/>
          <w:sz w:val="20"/>
        </w:rPr>
      </w:pPr>
      <w:r>
        <w:rPr>
          <w:rFonts w:eastAsiaTheme="minorEastAsia"/>
          <w:color w:val="000000" w:themeColor="text1"/>
          <w:sz w:val="20"/>
        </w:rPr>
        <w:t xml:space="preserve">If assuming max channel BW in FR2, which is 400MHz, CSI-RS and PT-RS overhead is defined by the higher layer parameter </w:t>
      </w:r>
      <w:r w:rsidRPr="009D62C1">
        <w:rPr>
          <w:rFonts w:eastAsiaTheme="minorEastAsia"/>
          <w:i/>
          <w:iCs/>
          <w:color w:val="000000" w:themeColor="text1"/>
          <w:sz w:val="20"/>
        </w:rPr>
        <w:t>sl-xOverhead</w:t>
      </w:r>
      <w:r>
        <w:rPr>
          <w:rFonts w:eastAsiaTheme="minorEastAsia"/>
          <w:color w:val="000000" w:themeColor="text1"/>
          <w:sz w:val="20"/>
        </w:rPr>
        <w:t>. If 100MHz channel BW in FR1 is assumed, then this overhead can be set to zero.</w:t>
      </w:r>
    </w:p>
    <w:p w14:paraId="2DF421F5" w14:textId="18FB1CF8" w:rsidR="005502C4" w:rsidRPr="005502C4" w:rsidRDefault="005502C4" w:rsidP="005502C4">
      <w:pPr>
        <w:pStyle w:val="BodyText"/>
        <w:numPr>
          <w:ilvl w:val="0"/>
          <w:numId w:val="37"/>
        </w:numPr>
        <w:spacing w:after="120"/>
        <w:rPr>
          <w:rFonts w:eastAsiaTheme="minorEastAsia"/>
          <w:color w:val="000000" w:themeColor="text1"/>
          <w:sz w:val="20"/>
        </w:rPr>
      </w:pPr>
      <w:r>
        <w:rPr>
          <w:rFonts w:eastAsiaTheme="minorEastAsia"/>
          <w:color w:val="000000" w:themeColor="text1"/>
          <w:sz w:val="20"/>
        </w:rPr>
        <w:lastRenderedPageBreak/>
        <w:t>12 symbols in a slot for the actual SL transmission (one symbol at the beginning for AGC and one symbol at the end for time gap)</w:t>
      </w:r>
    </w:p>
    <w:p w14:paraId="2E7CD30A" w14:textId="37C66453" w:rsidR="00E05904" w:rsidRPr="003F6F6B" w:rsidRDefault="00E05904" w:rsidP="00A67FC7">
      <w:pPr>
        <w:pStyle w:val="BodyText"/>
        <w:spacing w:after="240"/>
        <w:rPr>
          <w:rFonts w:eastAsiaTheme="minorEastAsia"/>
          <w:color w:val="000000" w:themeColor="text1"/>
          <w:sz w:val="20"/>
        </w:rPr>
      </w:pPr>
      <w:r>
        <w:rPr>
          <w:rFonts w:eastAsiaTheme="minorEastAsia"/>
          <w:color w:val="000000" w:themeColor="text1"/>
          <w:sz w:val="20"/>
        </w:rPr>
        <w:t xml:space="preserve">Based on the above assumption, the SL overhead </w:t>
      </w:r>
      <w:r w:rsidR="00A67FC7">
        <w:rPr>
          <w:rFonts w:eastAsiaTheme="minorEastAsia"/>
          <w:color w:val="000000" w:themeColor="text1"/>
          <w:sz w:val="20"/>
        </w:rPr>
        <w:t xml:space="preserve">would be at least 0.217 without considering CSI-RS and PT-RS overhead in FR2. This value should be finalised when RAN2 has defined a minimum non-zero value for the higher layer parameter </w:t>
      </w:r>
      <w:r w:rsidR="00A67FC7" w:rsidRPr="009D62C1">
        <w:rPr>
          <w:rFonts w:eastAsiaTheme="minorEastAsia"/>
          <w:i/>
          <w:iCs/>
          <w:color w:val="000000" w:themeColor="text1"/>
          <w:sz w:val="20"/>
        </w:rPr>
        <w:t>sl-xOverhead</w:t>
      </w:r>
      <w:r w:rsidR="00A67FC7">
        <w:rPr>
          <w:rFonts w:eastAsiaTheme="minorEastAsia"/>
          <w:i/>
          <w:iCs/>
          <w:color w:val="000000" w:themeColor="text1"/>
          <w:sz w:val="20"/>
        </w:rPr>
        <w:t>.</w:t>
      </w:r>
    </w:p>
    <w:p w14:paraId="2EF4542C" w14:textId="7B15A34B" w:rsidR="00695CCB" w:rsidRDefault="00695CCB" w:rsidP="004547F5">
      <w:pPr>
        <w:pStyle w:val="BodyText"/>
        <w:spacing w:after="240"/>
        <w:rPr>
          <w:rFonts w:eastAsiaTheme="minorEastAsia"/>
          <w:b/>
          <w:i/>
          <w:color w:val="000000" w:themeColor="text1"/>
          <w:sz w:val="20"/>
          <w:szCs w:val="20"/>
        </w:rPr>
      </w:pPr>
      <w:r w:rsidRPr="007B07CC">
        <w:rPr>
          <w:rFonts w:eastAsiaTheme="minorEastAsia"/>
          <w:b/>
          <w:i/>
          <w:color w:val="000000" w:themeColor="text1"/>
          <w:sz w:val="20"/>
          <w:szCs w:val="20"/>
        </w:rPr>
        <w:t xml:space="preserve">Proposal </w:t>
      </w:r>
      <w:r w:rsidR="00132CA4" w:rsidRPr="007B07CC">
        <w:rPr>
          <w:rFonts w:eastAsiaTheme="minorEastAsia"/>
          <w:b/>
          <w:i/>
          <w:color w:val="000000" w:themeColor="text1"/>
          <w:sz w:val="20"/>
          <w:szCs w:val="20"/>
        </w:rPr>
        <w:t>1</w:t>
      </w:r>
      <w:r w:rsidRPr="007B07CC">
        <w:rPr>
          <w:rFonts w:eastAsiaTheme="minorEastAsia"/>
          <w:b/>
          <w:i/>
          <w:color w:val="000000" w:themeColor="text1"/>
          <w:sz w:val="20"/>
          <w:szCs w:val="20"/>
        </w:rPr>
        <w:t xml:space="preserve">: </w:t>
      </w:r>
      <w:r w:rsidR="007B07CC">
        <w:rPr>
          <w:rFonts w:eastAsiaTheme="minorEastAsia"/>
          <w:b/>
          <w:i/>
          <w:color w:val="000000" w:themeColor="text1"/>
          <w:sz w:val="20"/>
          <w:szCs w:val="20"/>
        </w:rPr>
        <w:t>U</w:t>
      </w:r>
      <w:r w:rsidR="00A67FC7" w:rsidRPr="007B07CC">
        <w:rPr>
          <w:rFonts w:eastAsiaTheme="minorEastAsia"/>
          <w:b/>
          <w:i/>
          <w:color w:val="000000" w:themeColor="text1"/>
          <w:sz w:val="20"/>
          <w:szCs w:val="20"/>
        </w:rPr>
        <w:t>se</w:t>
      </w:r>
      <w:r w:rsidR="007B07CC">
        <w:rPr>
          <w:rFonts w:eastAsiaTheme="minorEastAsia"/>
          <w:b/>
          <w:i/>
          <w:color w:val="000000" w:themeColor="text1"/>
          <w:sz w:val="20"/>
          <w:szCs w:val="20"/>
        </w:rPr>
        <w:t xml:space="preserve"> the above</w:t>
      </w:r>
      <w:r w:rsidR="00A67FC7" w:rsidRPr="007B07CC">
        <w:rPr>
          <w:rFonts w:eastAsiaTheme="minorEastAsia"/>
          <w:b/>
          <w:i/>
          <w:color w:val="000000" w:themeColor="text1"/>
          <w:sz w:val="20"/>
          <w:szCs w:val="20"/>
        </w:rPr>
        <w:t xml:space="preserve"> Eq. (2) for </w:t>
      </w:r>
      <w:r w:rsidR="007B07CC" w:rsidRPr="007B07CC">
        <w:rPr>
          <w:rFonts w:eastAsiaTheme="minorEastAsia"/>
          <w:b/>
          <w:i/>
          <w:color w:val="000000" w:themeColor="text1"/>
          <w:sz w:val="20"/>
          <w:szCs w:val="20"/>
        </w:rPr>
        <w:t>computing</w:t>
      </w:r>
      <w:r w:rsidR="00A67FC7" w:rsidRPr="007B07CC">
        <w:rPr>
          <w:rFonts w:eastAsiaTheme="minorEastAsia"/>
          <w:b/>
          <w:i/>
          <w:color w:val="000000" w:themeColor="text1"/>
          <w:sz w:val="20"/>
          <w:szCs w:val="20"/>
        </w:rPr>
        <w:t xml:space="preserve"> </w:t>
      </w:r>
      <w:r w:rsidR="007B07CC">
        <w:rPr>
          <w:rFonts w:eastAsiaTheme="minorEastAsia"/>
          <w:b/>
          <w:i/>
          <w:color w:val="000000" w:themeColor="text1"/>
          <w:sz w:val="20"/>
          <w:szCs w:val="20"/>
        </w:rPr>
        <w:t xml:space="preserve">the </w:t>
      </w:r>
      <w:r w:rsidR="00A67FC7" w:rsidRPr="007B07CC">
        <w:rPr>
          <w:rFonts w:eastAsiaTheme="minorEastAsia"/>
          <w:b/>
          <w:i/>
          <w:color w:val="000000" w:themeColor="text1"/>
          <w:sz w:val="20"/>
          <w:szCs w:val="20"/>
        </w:rPr>
        <w:t xml:space="preserve">max data rate </w:t>
      </w:r>
      <w:r w:rsidR="007B07CC" w:rsidRPr="007B07CC">
        <w:rPr>
          <w:rFonts w:eastAsiaTheme="minorEastAsia"/>
          <w:b/>
          <w:i/>
          <w:color w:val="000000" w:themeColor="text1"/>
          <w:sz w:val="20"/>
          <w:szCs w:val="20"/>
        </w:rPr>
        <w:t>for SL in Rel-16.</w:t>
      </w:r>
    </w:p>
    <w:p w14:paraId="4751583C" w14:textId="77777777" w:rsidR="00A67FC7" w:rsidRDefault="00A67FC7" w:rsidP="00BC0557">
      <w:pPr>
        <w:spacing w:after="120"/>
        <w:rPr>
          <w:b/>
          <w:sz w:val="20"/>
          <w:szCs w:val="20"/>
        </w:rPr>
      </w:pPr>
    </w:p>
    <w:p w14:paraId="3A91C9E1" w14:textId="232B1856" w:rsidR="00BC0557" w:rsidRPr="006A58CD" w:rsidRDefault="00695CCB" w:rsidP="00BC0557">
      <w:pPr>
        <w:spacing w:after="120"/>
        <w:rPr>
          <w:b/>
          <w:sz w:val="20"/>
          <w:szCs w:val="20"/>
        </w:rPr>
      </w:pPr>
      <w:r w:rsidRPr="006A58CD">
        <w:rPr>
          <w:b/>
          <w:sz w:val="20"/>
          <w:szCs w:val="20"/>
        </w:rPr>
        <w:t>4</w:t>
      </w:r>
      <w:r w:rsidR="00BC0557" w:rsidRPr="006A58CD">
        <w:rPr>
          <w:b/>
          <w:sz w:val="20"/>
          <w:szCs w:val="20"/>
        </w:rPr>
        <w:t>. Conclusion</w:t>
      </w:r>
    </w:p>
    <w:p w14:paraId="0188F143" w14:textId="6AEC8A95" w:rsidR="00695CCB" w:rsidRPr="007B07CC" w:rsidRDefault="00695CCB" w:rsidP="00695CCB">
      <w:pPr>
        <w:pStyle w:val="BodyText"/>
        <w:rPr>
          <w:color w:val="000000" w:themeColor="text1"/>
          <w:sz w:val="20"/>
        </w:rPr>
      </w:pPr>
      <w:r w:rsidRPr="007B07CC">
        <w:rPr>
          <w:color w:val="000000" w:themeColor="text1"/>
          <w:sz w:val="20"/>
        </w:rPr>
        <w:t>I</w:t>
      </w:r>
      <w:r w:rsidRPr="007B07CC">
        <w:rPr>
          <w:rFonts w:hint="eastAsia"/>
          <w:color w:val="000000" w:themeColor="text1"/>
          <w:sz w:val="20"/>
        </w:rPr>
        <w:t xml:space="preserve">n </w:t>
      </w:r>
      <w:r w:rsidRPr="007B07CC">
        <w:rPr>
          <w:color w:val="000000" w:themeColor="text1"/>
          <w:sz w:val="20"/>
        </w:rPr>
        <w:t xml:space="preserve">this contribution, </w:t>
      </w:r>
      <w:r w:rsidR="007B07CC" w:rsidRPr="007B07CC">
        <w:rPr>
          <w:color w:val="000000" w:themeColor="text1"/>
          <w:sz w:val="20"/>
        </w:rPr>
        <w:t xml:space="preserve">we provided </w:t>
      </w:r>
      <w:r w:rsidR="007B07CC" w:rsidRPr="007B07CC">
        <w:rPr>
          <w:color w:val="000000" w:themeColor="text1"/>
          <w:sz w:val="20"/>
          <w:szCs w:val="20"/>
        </w:rPr>
        <w:t>discussion and computation formula to define the max data rate for sidelink in Rel-16.</w:t>
      </w:r>
    </w:p>
    <w:p w14:paraId="37D901DE" w14:textId="1E099253" w:rsidR="00695CCB" w:rsidRDefault="00695CCB" w:rsidP="00695CCB">
      <w:pPr>
        <w:pStyle w:val="BodyText"/>
        <w:rPr>
          <w:sz w:val="20"/>
        </w:rPr>
      </w:pPr>
    </w:p>
    <w:p w14:paraId="4FA4640E" w14:textId="77777777" w:rsidR="007B07CC" w:rsidRDefault="007B07CC" w:rsidP="007B07CC">
      <w:pPr>
        <w:pStyle w:val="BodyText"/>
        <w:spacing w:after="240"/>
        <w:rPr>
          <w:rFonts w:eastAsiaTheme="minorEastAsia"/>
          <w:b/>
          <w:i/>
          <w:color w:val="000000" w:themeColor="text1"/>
          <w:sz w:val="20"/>
          <w:szCs w:val="20"/>
        </w:rPr>
      </w:pPr>
      <w:r w:rsidRPr="007B07CC">
        <w:rPr>
          <w:rFonts w:eastAsiaTheme="minorEastAsia"/>
          <w:b/>
          <w:i/>
          <w:color w:val="000000" w:themeColor="text1"/>
          <w:sz w:val="20"/>
          <w:szCs w:val="20"/>
        </w:rPr>
        <w:t xml:space="preserve">Proposal 1: </w:t>
      </w:r>
      <w:r>
        <w:rPr>
          <w:rFonts w:eastAsiaTheme="minorEastAsia"/>
          <w:b/>
          <w:i/>
          <w:color w:val="000000" w:themeColor="text1"/>
          <w:sz w:val="20"/>
          <w:szCs w:val="20"/>
        </w:rPr>
        <w:t>U</w:t>
      </w:r>
      <w:r w:rsidRPr="007B07CC">
        <w:rPr>
          <w:rFonts w:eastAsiaTheme="minorEastAsia"/>
          <w:b/>
          <w:i/>
          <w:color w:val="000000" w:themeColor="text1"/>
          <w:sz w:val="20"/>
          <w:szCs w:val="20"/>
        </w:rPr>
        <w:t>se</w:t>
      </w:r>
      <w:r>
        <w:rPr>
          <w:rFonts w:eastAsiaTheme="minorEastAsia"/>
          <w:b/>
          <w:i/>
          <w:color w:val="000000" w:themeColor="text1"/>
          <w:sz w:val="20"/>
          <w:szCs w:val="20"/>
        </w:rPr>
        <w:t xml:space="preserve"> the above</w:t>
      </w:r>
      <w:r w:rsidRPr="007B07CC">
        <w:rPr>
          <w:rFonts w:eastAsiaTheme="minorEastAsia"/>
          <w:b/>
          <w:i/>
          <w:color w:val="000000" w:themeColor="text1"/>
          <w:sz w:val="20"/>
          <w:szCs w:val="20"/>
        </w:rPr>
        <w:t xml:space="preserve"> Eq. (2) for computing </w:t>
      </w:r>
      <w:r>
        <w:rPr>
          <w:rFonts w:eastAsiaTheme="minorEastAsia"/>
          <w:b/>
          <w:i/>
          <w:color w:val="000000" w:themeColor="text1"/>
          <w:sz w:val="20"/>
          <w:szCs w:val="20"/>
        </w:rPr>
        <w:t xml:space="preserve">the </w:t>
      </w:r>
      <w:r w:rsidRPr="007B07CC">
        <w:rPr>
          <w:rFonts w:eastAsiaTheme="minorEastAsia"/>
          <w:b/>
          <w:i/>
          <w:color w:val="000000" w:themeColor="text1"/>
          <w:sz w:val="20"/>
          <w:szCs w:val="20"/>
        </w:rPr>
        <w:t>max data rate for SL in Rel-16.</w:t>
      </w:r>
    </w:p>
    <w:p w14:paraId="65250FA1" w14:textId="0ADBB9C0" w:rsidR="0040430F" w:rsidRDefault="0040430F" w:rsidP="0040430F">
      <w:pPr>
        <w:spacing w:after="120"/>
        <w:rPr>
          <w:b/>
          <w:sz w:val="20"/>
          <w:szCs w:val="20"/>
        </w:rPr>
      </w:pPr>
      <w:r>
        <w:rPr>
          <w:b/>
          <w:sz w:val="20"/>
          <w:szCs w:val="20"/>
        </w:rPr>
        <w:t>Reference</w:t>
      </w:r>
    </w:p>
    <w:p w14:paraId="2A71A396" w14:textId="3562BB08" w:rsidR="0040430F" w:rsidRPr="0040430F" w:rsidRDefault="0040430F" w:rsidP="0040430F">
      <w:pPr>
        <w:spacing w:after="120"/>
        <w:rPr>
          <w:bCs/>
          <w:sz w:val="20"/>
          <w:szCs w:val="20"/>
        </w:rPr>
      </w:pPr>
      <w:r w:rsidRPr="0040430F">
        <w:rPr>
          <w:bCs/>
          <w:sz w:val="20"/>
          <w:szCs w:val="20"/>
        </w:rPr>
        <w:t>[1] R1-2003258 “LS on UE capability”, RAN2</w:t>
      </w:r>
    </w:p>
    <w:p w14:paraId="2A1AE738" w14:textId="77777777" w:rsidR="0040430F" w:rsidRPr="00F54C83" w:rsidRDefault="0040430F" w:rsidP="009408CB">
      <w:pPr>
        <w:pStyle w:val="BodyText"/>
        <w:spacing w:after="240"/>
        <w:rPr>
          <w:rFonts w:eastAsiaTheme="minorEastAsia"/>
          <w:b/>
          <w:i/>
          <w:sz w:val="20"/>
          <w:szCs w:val="20"/>
        </w:rPr>
      </w:pPr>
    </w:p>
    <w:sectPr w:rsidR="0040430F" w:rsidRPr="00F54C8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96029" w14:textId="77777777" w:rsidR="007A7DD8" w:rsidRDefault="007A7DD8" w:rsidP="00511BDE">
      <w:r>
        <w:separator/>
      </w:r>
    </w:p>
  </w:endnote>
  <w:endnote w:type="continuationSeparator" w:id="0">
    <w:p w14:paraId="22DD572F" w14:textId="77777777" w:rsidR="007A7DD8" w:rsidRDefault="007A7DD8"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5CFA1" w14:textId="77777777" w:rsidR="007A7DD8" w:rsidRDefault="007A7DD8" w:rsidP="00511BDE">
      <w:r>
        <w:separator/>
      </w:r>
    </w:p>
  </w:footnote>
  <w:footnote w:type="continuationSeparator" w:id="0">
    <w:p w14:paraId="44C0FD32" w14:textId="77777777" w:rsidR="007A7DD8" w:rsidRDefault="007A7DD8"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C15CF"/>
    <w:multiLevelType w:val="hybridMultilevel"/>
    <w:tmpl w:val="113451F2"/>
    <w:lvl w:ilvl="0" w:tplc="4DD07D9A">
      <w:numFmt w:val="bullet"/>
      <w:lvlText w:val=""/>
      <w:lvlJc w:val="left"/>
      <w:pPr>
        <w:ind w:left="720" w:hanging="360"/>
      </w:pPr>
      <w:rPr>
        <w:rFonts w:ascii="Symbol" w:eastAsiaTheme="minorEastAsia"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3"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2"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4"/>
  </w:num>
  <w:num w:numId="4">
    <w:abstractNumId w:val="15"/>
  </w:num>
  <w:num w:numId="5">
    <w:abstractNumId w:val="4"/>
  </w:num>
  <w:num w:numId="6">
    <w:abstractNumId w:val="15"/>
  </w:num>
  <w:num w:numId="7">
    <w:abstractNumId w:val="15"/>
  </w:num>
  <w:num w:numId="8">
    <w:abstractNumId w:val="15"/>
  </w:num>
  <w:num w:numId="9">
    <w:abstractNumId w:val="15"/>
  </w:num>
  <w:num w:numId="10">
    <w:abstractNumId w:val="22"/>
  </w:num>
  <w:num w:numId="11">
    <w:abstractNumId w:val="26"/>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8"/>
  </w:num>
  <w:num w:numId="19">
    <w:abstractNumId w:val="30"/>
  </w:num>
  <w:num w:numId="20">
    <w:abstractNumId w:val="11"/>
  </w:num>
  <w:num w:numId="21">
    <w:abstractNumId w:val="31"/>
  </w:num>
  <w:num w:numId="22">
    <w:abstractNumId w:val="27"/>
  </w:num>
  <w:num w:numId="23">
    <w:abstractNumId w:val="29"/>
  </w:num>
  <w:num w:numId="24">
    <w:abstractNumId w:val="5"/>
  </w:num>
  <w:num w:numId="25">
    <w:abstractNumId w:val="23"/>
  </w:num>
  <w:num w:numId="26">
    <w:abstractNumId w:val="7"/>
  </w:num>
  <w:num w:numId="27">
    <w:abstractNumId w:val="14"/>
  </w:num>
  <w:num w:numId="28">
    <w:abstractNumId w:val="21"/>
  </w:num>
  <w:num w:numId="29">
    <w:abstractNumId w:val="3"/>
  </w:num>
  <w:num w:numId="30">
    <w:abstractNumId w:val="13"/>
  </w:num>
  <w:num w:numId="31">
    <w:abstractNumId w:val="20"/>
  </w:num>
  <w:num w:numId="32">
    <w:abstractNumId w:val="2"/>
  </w:num>
  <w:num w:numId="33">
    <w:abstractNumId w:val="16"/>
  </w:num>
  <w:num w:numId="34">
    <w:abstractNumId w:val="6"/>
  </w:num>
  <w:num w:numId="35">
    <w:abstractNumId w:val="32"/>
  </w:num>
  <w:num w:numId="36">
    <w:abstractNumId w:val="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4F65"/>
    <w:rsid w:val="00036438"/>
    <w:rsid w:val="000416C0"/>
    <w:rsid w:val="00046E6C"/>
    <w:rsid w:val="000606B7"/>
    <w:rsid w:val="000646BE"/>
    <w:rsid w:val="000824A2"/>
    <w:rsid w:val="00095CF1"/>
    <w:rsid w:val="00096409"/>
    <w:rsid w:val="000A2AA1"/>
    <w:rsid w:val="000A7BDE"/>
    <w:rsid w:val="000B1A8E"/>
    <w:rsid w:val="000E23FD"/>
    <w:rsid w:val="000F4718"/>
    <w:rsid w:val="001027FC"/>
    <w:rsid w:val="001110C2"/>
    <w:rsid w:val="0011674C"/>
    <w:rsid w:val="0011719E"/>
    <w:rsid w:val="00122C28"/>
    <w:rsid w:val="001234F4"/>
    <w:rsid w:val="00127D1E"/>
    <w:rsid w:val="00132CA4"/>
    <w:rsid w:val="0013394A"/>
    <w:rsid w:val="00140CD4"/>
    <w:rsid w:val="00156000"/>
    <w:rsid w:val="00160871"/>
    <w:rsid w:val="00172616"/>
    <w:rsid w:val="0017666C"/>
    <w:rsid w:val="00183059"/>
    <w:rsid w:val="0018639A"/>
    <w:rsid w:val="0019045B"/>
    <w:rsid w:val="00191876"/>
    <w:rsid w:val="001A4177"/>
    <w:rsid w:val="001A7E44"/>
    <w:rsid w:val="001C4931"/>
    <w:rsid w:val="001C4A2A"/>
    <w:rsid w:val="001D18BB"/>
    <w:rsid w:val="001D6275"/>
    <w:rsid w:val="001E06F9"/>
    <w:rsid w:val="001E6977"/>
    <w:rsid w:val="001F5429"/>
    <w:rsid w:val="002010A4"/>
    <w:rsid w:val="00204D5B"/>
    <w:rsid w:val="00210230"/>
    <w:rsid w:val="002232D9"/>
    <w:rsid w:val="00224DF7"/>
    <w:rsid w:val="00225FD1"/>
    <w:rsid w:val="00227A56"/>
    <w:rsid w:val="002347E5"/>
    <w:rsid w:val="00237A0B"/>
    <w:rsid w:val="002512F3"/>
    <w:rsid w:val="00262374"/>
    <w:rsid w:val="00262DA4"/>
    <w:rsid w:val="00282ADD"/>
    <w:rsid w:val="00290D60"/>
    <w:rsid w:val="00290F4A"/>
    <w:rsid w:val="0029653E"/>
    <w:rsid w:val="002A0897"/>
    <w:rsid w:val="002A09BD"/>
    <w:rsid w:val="002A4183"/>
    <w:rsid w:val="002A6143"/>
    <w:rsid w:val="002B16EA"/>
    <w:rsid w:val="002D117C"/>
    <w:rsid w:val="002D7837"/>
    <w:rsid w:val="002E11B6"/>
    <w:rsid w:val="002F480D"/>
    <w:rsid w:val="00307A16"/>
    <w:rsid w:val="00311E4D"/>
    <w:rsid w:val="0031286C"/>
    <w:rsid w:val="00316B82"/>
    <w:rsid w:val="00322BBF"/>
    <w:rsid w:val="00327432"/>
    <w:rsid w:val="003524E5"/>
    <w:rsid w:val="003761DB"/>
    <w:rsid w:val="003848D6"/>
    <w:rsid w:val="00390468"/>
    <w:rsid w:val="00395A18"/>
    <w:rsid w:val="003A1784"/>
    <w:rsid w:val="003A4353"/>
    <w:rsid w:val="003A74CD"/>
    <w:rsid w:val="003C70F9"/>
    <w:rsid w:val="003E02C8"/>
    <w:rsid w:val="003F01D2"/>
    <w:rsid w:val="003F30AA"/>
    <w:rsid w:val="003F6F6B"/>
    <w:rsid w:val="0040430F"/>
    <w:rsid w:val="00407980"/>
    <w:rsid w:val="00420F6D"/>
    <w:rsid w:val="00421776"/>
    <w:rsid w:val="00422D2B"/>
    <w:rsid w:val="004263F7"/>
    <w:rsid w:val="00435D16"/>
    <w:rsid w:val="00436D20"/>
    <w:rsid w:val="00437571"/>
    <w:rsid w:val="00440D4E"/>
    <w:rsid w:val="00443FFF"/>
    <w:rsid w:val="004443AC"/>
    <w:rsid w:val="00446597"/>
    <w:rsid w:val="004547F5"/>
    <w:rsid w:val="004601A2"/>
    <w:rsid w:val="004630F7"/>
    <w:rsid w:val="00472914"/>
    <w:rsid w:val="00472CC7"/>
    <w:rsid w:val="004753C3"/>
    <w:rsid w:val="00476B10"/>
    <w:rsid w:val="00484DFD"/>
    <w:rsid w:val="004919B6"/>
    <w:rsid w:val="004A03BC"/>
    <w:rsid w:val="004B2974"/>
    <w:rsid w:val="004B302E"/>
    <w:rsid w:val="004D595C"/>
    <w:rsid w:val="004D750D"/>
    <w:rsid w:val="004E7C9C"/>
    <w:rsid w:val="004F16DA"/>
    <w:rsid w:val="004F35D2"/>
    <w:rsid w:val="004F3DF6"/>
    <w:rsid w:val="004F4ABD"/>
    <w:rsid w:val="0050292C"/>
    <w:rsid w:val="0051049B"/>
    <w:rsid w:val="00511BDE"/>
    <w:rsid w:val="00512895"/>
    <w:rsid w:val="00523A4F"/>
    <w:rsid w:val="00535D66"/>
    <w:rsid w:val="00536FA5"/>
    <w:rsid w:val="00545636"/>
    <w:rsid w:val="005502C4"/>
    <w:rsid w:val="005532B9"/>
    <w:rsid w:val="00553532"/>
    <w:rsid w:val="005601BB"/>
    <w:rsid w:val="00561A1F"/>
    <w:rsid w:val="00563CA3"/>
    <w:rsid w:val="00570C83"/>
    <w:rsid w:val="0058130A"/>
    <w:rsid w:val="00581B1B"/>
    <w:rsid w:val="00582FFA"/>
    <w:rsid w:val="0059271B"/>
    <w:rsid w:val="00594422"/>
    <w:rsid w:val="005A2293"/>
    <w:rsid w:val="005A3678"/>
    <w:rsid w:val="005B2729"/>
    <w:rsid w:val="005B4285"/>
    <w:rsid w:val="005B5979"/>
    <w:rsid w:val="005C288B"/>
    <w:rsid w:val="005C7D1E"/>
    <w:rsid w:val="005D1637"/>
    <w:rsid w:val="005E3141"/>
    <w:rsid w:val="00606B8B"/>
    <w:rsid w:val="00622721"/>
    <w:rsid w:val="00624E53"/>
    <w:rsid w:val="006251B5"/>
    <w:rsid w:val="0063046B"/>
    <w:rsid w:val="00631E16"/>
    <w:rsid w:val="006432B0"/>
    <w:rsid w:val="00646D40"/>
    <w:rsid w:val="00647615"/>
    <w:rsid w:val="00655F5A"/>
    <w:rsid w:val="006646AC"/>
    <w:rsid w:val="006749EC"/>
    <w:rsid w:val="00677F23"/>
    <w:rsid w:val="00686047"/>
    <w:rsid w:val="00686CD4"/>
    <w:rsid w:val="00695CCB"/>
    <w:rsid w:val="006A2CAC"/>
    <w:rsid w:val="006A51DC"/>
    <w:rsid w:val="006A58CD"/>
    <w:rsid w:val="006B4A2B"/>
    <w:rsid w:val="006B603A"/>
    <w:rsid w:val="006C2AC3"/>
    <w:rsid w:val="006D38B7"/>
    <w:rsid w:val="006D4CD1"/>
    <w:rsid w:val="006E0CEC"/>
    <w:rsid w:val="006E1142"/>
    <w:rsid w:val="006F2EC4"/>
    <w:rsid w:val="006F5CF2"/>
    <w:rsid w:val="007069E1"/>
    <w:rsid w:val="00714BC5"/>
    <w:rsid w:val="0071547E"/>
    <w:rsid w:val="00723C4C"/>
    <w:rsid w:val="00740B19"/>
    <w:rsid w:val="00747683"/>
    <w:rsid w:val="00756A23"/>
    <w:rsid w:val="007579A2"/>
    <w:rsid w:val="0076660D"/>
    <w:rsid w:val="007736BB"/>
    <w:rsid w:val="007838AC"/>
    <w:rsid w:val="007871BD"/>
    <w:rsid w:val="00797939"/>
    <w:rsid w:val="007A15B3"/>
    <w:rsid w:val="007A430C"/>
    <w:rsid w:val="007A5B22"/>
    <w:rsid w:val="007A787E"/>
    <w:rsid w:val="007A7DD8"/>
    <w:rsid w:val="007B07CC"/>
    <w:rsid w:val="007B0977"/>
    <w:rsid w:val="007C0507"/>
    <w:rsid w:val="007C39F8"/>
    <w:rsid w:val="007D6B9A"/>
    <w:rsid w:val="007E0507"/>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9A5"/>
    <w:rsid w:val="008A335B"/>
    <w:rsid w:val="008A5454"/>
    <w:rsid w:val="008A670B"/>
    <w:rsid w:val="008B7BA5"/>
    <w:rsid w:val="008C041D"/>
    <w:rsid w:val="008C3113"/>
    <w:rsid w:val="008E12E9"/>
    <w:rsid w:val="008F22BA"/>
    <w:rsid w:val="008F6F85"/>
    <w:rsid w:val="009015A9"/>
    <w:rsid w:val="00905B49"/>
    <w:rsid w:val="00915471"/>
    <w:rsid w:val="00923CFE"/>
    <w:rsid w:val="00932048"/>
    <w:rsid w:val="009355A5"/>
    <w:rsid w:val="009408CB"/>
    <w:rsid w:val="009452C1"/>
    <w:rsid w:val="00947377"/>
    <w:rsid w:val="00947BB5"/>
    <w:rsid w:val="009658CF"/>
    <w:rsid w:val="00980EE0"/>
    <w:rsid w:val="0098464D"/>
    <w:rsid w:val="009962B2"/>
    <w:rsid w:val="009973A1"/>
    <w:rsid w:val="009A2560"/>
    <w:rsid w:val="009A5DA5"/>
    <w:rsid w:val="009B1DF9"/>
    <w:rsid w:val="009B1F2E"/>
    <w:rsid w:val="009B3062"/>
    <w:rsid w:val="009B6543"/>
    <w:rsid w:val="009C3461"/>
    <w:rsid w:val="009C5678"/>
    <w:rsid w:val="009C79F1"/>
    <w:rsid w:val="009D1E50"/>
    <w:rsid w:val="009D62C1"/>
    <w:rsid w:val="009D7E42"/>
    <w:rsid w:val="009F1A8D"/>
    <w:rsid w:val="009F3F8F"/>
    <w:rsid w:val="00A028D8"/>
    <w:rsid w:val="00A03E4B"/>
    <w:rsid w:val="00A34419"/>
    <w:rsid w:val="00A37703"/>
    <w:rsid w:val="00A40928"/>
    <w:rsid w:val="00A42D3B"/>
    <w:rsid w:val="00A51B85"/>
    <w:rsid w:val="00A52CFF"/>
    <w:rsid w:val="00A54461"/>
    <w:rsid w:val="00A559E1"/>
    <w:rsid w:val="00A56438"/>
    <w:rsid w:val="00A6343C"/>
    <w:rsid w:val="00A67FC7"/>
    <w:rsid w:val="00A71DA6"/>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551D1"/>
    <w:rsid w:val="00B63125"/>
    <w:rsid w:val="00B72B9C"/>
    <w:rsid w:val="00B73030"/>
    <w:rsid w:val="00B91216"/>
    <w:rsid w:val="00B94420"/>
    <w:rsid w:val="00BB1780"/>
    <w:rsid w:val="00BB1965"/>
    <w:rsid w:val="00BC0557"/>
    <w:rsid w:val="00BD2B3D"/>
    <w:rsid w:val="00BD6D85"/>
    <w:rsid w:val="00BE2478"/>
    <w:rsid w:val="00BE2A3B"/>
    <w:rsid w:val="00BE4DC5"/>
    <w:rsid w:val="00C013C8"/>
    <w:rsid w:val="00C049D1"/>
    <w:rsid w:val="00C144FC"/>
    <w:rsid w:val="00C26A2D"/>
    <w:rsid w:val="00C305C2"/>
    <w:rsid w:val="00C31FF2"/>
    <w:rsid w:val="00C352D1"/>
    <w:rsid w:val="00C35EC9"/>
    <w:rsid w:val="00C412C7"/>
    <w:rsid w:val="00C51B72"/>
    <w:rsid w:val="00C5569D"/>
    <w:rsid w:val="00C65F81"/>
    <w:rsid w:val="00CA0AA3"/>
    <w:rsid w:val="00CA5F3B"/>
    <w:rsid w:val="00CB2B91"/>
    <w:rsid w:val="00CC051B"/>
    <w:rsid w:val="00CC7811"/>
    <w:rsid w:val="00CD6B1B"/>
    <w:rsid w:val="00CD7525"/>
    <w:rsid w:val="00CE1122"/>
    <w:rsid w:val="00CE577E"/>
    <w:rsid w:val="00CF0B12"/>
    <w:rsid w:val="00D0042A"/>
    <w:rsid w:val="00D03439"/>
    <w:rsid w:val="00D03C39"/>
    <w:rsid w:val="00D12DF2"/>
    <w:rsid w:val="00D1518D"/>
    <w:rsid w:val="00D22BB4"/>
    <w:rsid w:val="00D3245A"/>
    <w:rsid w:val="00D34D2E"/>
    <w:rsid w:val="00D435E6"/>
    <w:rsid w:val="00D562C7"/>
    <w:rsid w:val="00D715A7"/>
    <w:rsid w:val="00D71A65"/>
    <w:rsid w:val="00D71B94"/>
    <w:rsid w:val="00D80979"/>
    <w:rsid w:val="00D817AF"/>
    <w:rsid w:val="00D91153"/>
    <w:rsid w:val="00D92E2E"/>
    <w:rsid w:val="00DA4FAB"/>
    <w:rsid w:val="00DA5222"/>
    <w:rsid w:val="00DB2D42"/>
    <w:rsid w:val="00DC1E9B"/>
    <w:rsid w:val="00DC1F83"/>
    <w:rsid w:val="00DC39EC"/>
    <w:rsid w:val="00DD2240"/>
    <w:rsid w:val="00DE619F"/>
    <w:rsid w:val="00DE6987"/>
    <w:rsid w:val="00DF0B34"/>
    <w:rsid w:val="00DF134B"/>
    <w:rsid w:val="00DF207B"/>
    <w:rsid w:val="00DF790C"/>
    <w:rsid w:val="00E05904"/>
    <w:rsid w:val="00E06FEF"/>
    <w:rsid w:val="00E10019"/>
    <w:rsid w:val="00E118B0"/>
    <w:rsid w:val="00E14C15"/>
    <w:rsid w:val="00E15ABB"/>
    <w:rsid w:val="00E23402"/>
    <w:rsid w:val="00E339F4"/>
    <w:rsid w:val="00E61E35"/>
    <w:rsid w:val="00E64289"/>
    <w:rsid w:val="00E64515"/>
    <w:rsid w:val="00E64A8F"/>
    <w:rsid w:val="00E926B4"/>
    <w:rsid w:val="00E93218"/>
    <w:rsid w:val="00E96E5D"/>
    <w:rsid w:val="00EB013E"/>
    <w:rsid w:val="00EC7F7E"/>
    <w:rsid w:val="00ED5069"/>
    <w:rsid w:val="00EE3CC6"/>
    <w:rsid w:val="00EE40AD"/>
    <w:rsid w:val="00EF0257"/>
    <w:rsid w:val="00EF6EF2"/>
    <w:rsid w:val="00F04F5B"/>
    <w:rsid w:val="00F10BED"/>
    <w:rsid w:val="00F12B44"/>
    <w:rsid w:val="00F140EB"/>
    <w:rsid w:val="00F20722"/>
    <w:rsid w:val="00F43AB1"/>
    <w:rsid w:val="00F445AF"/>
    <w:rsid w:val="00F52ACA"/>
    <w:rsid w:val="00F54C83"/>
    <w:rsid w:val="00F5580C"/>
    <w:rsid w:val="00F5749B"/>
    <w:rsid w:val="00F66C98"/>
    <w:rsid w:val="00F74160"/>
    <w:rsid w:val="00F743E3"/>
    <w:rsid w:val="00F74466"/>
    <w:rsid w:val="00F92EC0"/>
    <w:rsid w:val="00F95D08"/>
    <w:rsid w:val="00FA0D39"/>
    <w:rsid w:val="00FA1B27"/>
    <w:rsid w:val="00FA5B50"/>
    <w:rsid w:val="00FB6004"/>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 w:type="paragraph" w:customStyle="1" w:styleId="EQ">
    <w:name w:val="EQ"/>
    <w:basedOn w:val="Normal"/>
    <w:next w:val="Normal"/>
    <w:rsid w:val="00DF134B"/>
    <w:pPr>
      <w:keepLines/>
      <w:tabs>
        <w:tab w:val="center" w:pos="4536"/>
        <w:tab w:val="right" w:pos="9072"/>
      </w:tabs>
      <w:spacing w:after="180"/>
      <w:jc w:val="left"/>
    </w:pPr>
    <w:rPr>
      <w:rFonts w:ascii="Times New Roman" w:eastAsia="Malgun Gothic" w:hAnsi="Times New Roman" w:cs="Times New Roman"/>
      <w:noProof/>
      <w:sz w:val="20"/>
      <w:szCs w:val="20"/>
      <w:lang w:eastAsia="en-US"/>
    </w:rPr>
  </w:style>
  <w:style w:type="paragraph" w:customStyle="1" w:styleId="B2">
    <w:name w:val="B2"/>
    <w:basedOn w:val="Normal"/>
    <w:link w:val="B2Char"/>
    <w:qFormat/>
    <w:rsid w:val="006F2EC4"/>
    <w:pPr>
      <w:spacing w:after="180"/>
      <w:ind w:left="851" w:hanging="284"/>
      <w:jc w:val="left"/>
    </w:pPr>
    <w:rPr>
      <w:rFonts w:ascii="Times New Roman" w:eastAsia="Malgun Gothic" w:hAnsi="Times New Roman" w:cs="Times New Roman"/>
      <w:sz w:val="20"/>
      <w:szCs w:val="20"/>
      <w:lang w:val="x-none" w:eastAsia="en-US"/>
    </w:rPr>
  </w:style>
  <w:style w:type="character" w:customStyle="1" w:styleId="B2Char">
    <w:name w:val="B2 Char"/>
    <w:link w:val="B2"/>
    <w:qFormat/>
    <w:rsid w:val="006F2EC4"/>
    <w:rPr>
      <w:rFonts w:ascii="Times New Roman" w:eastAsia="Malgun Gothic"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131B-884D-4D06-A0CD-082079DE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Discussion on RAN1's view on NR sidelink</vt:lpstr>
    </vt:vector>
  </TitlesOfParts>
  <Company>Guangdong OPPO Mobile Telecom</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maximum data rate of NR sidelink</dc:title>
  <dc:subject>NR-V2X</dc:subject>
  <dc:creator>Kevin.Lin@oppo.com</dc:creator>
  <cp:keywords>RAN1#101-e</cp:keywords>
  <dc:description>Final version for submission</dc:description>
  <cp:lastModifiedBy>Kevin Lin</cp:lastModifiedBy>
  <cp:revision>4</cp:revision>
  <cp:lastPrinted>2020-02-08T03:10:00Z</cp:lastPrinted>
  <dcterms:created xsi:type="dcterms:W3CDTF">2020-05-15T03:53:00Z</dcterms:created>
  <dcterms:modified xsi:type="dcterms:W3CDTF">2020-05-15T06:33:00Z</dcterms:modified>
  <cp:category>QoS management</cp:category>
</cp:coreProperties>
</file>